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FF" w:rsidRPr="008A4B8B" w:rsidRDefault="00C250FF" w:rsidP="00C250FF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ANEXO II: MEMORIA Y CALENDARIO DE SERVICIO  </w:t>
      </w:r>
    </w:p>
    <w:p w:rsidR="00C250FF" w:rsidRPr="003532A4" w:rsidRDefault="00C250FF" w:rsidP="00C250FF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AYUNTAMIENTO:</w:t>
      </w: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LOCALIDAD:</w:t>
      </w: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MONUMENTO O CENTRO EXPOSITIVO:</w:t>
      </w: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RELEVANCIA O INTERÉS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: Breve descripción, incluyendo catalogación patrimonial.  </w:t>
      </w: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CALENDARIO DE APERTURA: Marcar con una X el periodo al que se adscribe:</w:t>
      </w:r>
    </w:p>
    <w:p w:rsidR="00C250FF" w:rsidRPr="00291DD9" w:rsidRDefault="00C250FF" w:rsidP="00C250FF">
      <w:pPr>
        <w:numPr>
          <w:ilvl w:val="0"/>
          <w:numId w:val="2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291DD9">
        <w:rPr>
          <w:rFonts w:ascii="Calibri" w:hAnsi="Calibri" w:cs="Calibri"/>
          <w:bCs/>
          <w:color w:val="002060"/>
          <w:sz w:val="20"/>
          <w:szCs w:val="20"/>
        </w:rPr>
        <w:t>Periodo de apertura mínimo: los fines de semana y festivos entre el 3 de junio y el 9 de julio; más un periodo continuado “principal” entre el 15 de julio y el 10 de septiembre con apertura seis días a la semana –incluyendo siempre el fin de semana-; más los fines de semana y festivos entre el 16 de septiembre al 1 de octubre.</w:t>
      </w:r>
    </w:p>
    <w:p w:rsidR="00C250FF" w:rsidRPr="003532A4" w:rsidRDefault="00C250FF" w:rsidP="00C250FF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Periodo de apertura superior al supuesto anterior (en este caso, habrá de estar incluido en ellos –mayor número de días de apertura en el periodo principal y/o ser inmediatamente anterior o consecutivo a los mismos –mayor número de fines de semana: antes del </w:t>
      </w:r>
      <w:r>
        <w:rPr>
          <w:rFonts w:ascii="Calibri" w:hAnsi="Calibri" w:cs="Calibri"/>
          <w:bCs/>
          <w:color w:val="002060"/>
          <w:sz w:val="20"/>
          <w:szCs w:val="20"/>
        </w:rPr>
        <w:t>3 de junio o después del 1</w:t>
      </w:r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 de </w:t>
      </w:r>
      <w:r>
        <w:rPr>
          <w:rFonts w:ascii="Calibri" w:hAnsi="Calibri" w:cs="Calibri"/>
          <w:bCs/>
          <w:color w:val="002060"/>
          <w:sz w:val="20"/>
          <w:szCs w:val="20"/>
        </w:rPr>
        <w:t>octubre</w:t>
      </w:r>
      <w:r w:rsidRPr="003532A4">
        <w:rPr>
          <w:rFonts w:ascii="Calibri" w:hAnsi="Calibri" w:cs="Calibri"/>
          <w:bCs/>
          <w:color w:val="002060"/>
          <w:sz w:val="20"/>
          <w:szCs w:val="20"/>
        </w:rPr>
        <w:t xml:space="preserve">-)  </w:t>
      </w: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Especificar periodo/s:</w:t>
      </w:r>
    </w:p>
    <w:p w:rsidR="00C250FF" w:rsidRPr="003532A4" w:rsidRDefault="00C250FF" w:rsidP="00C250FF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p w:rsidR="00C250FF" w:rsidRPr="003532A4" w:rsidRDefault="00C250FF" w:rsidP="00C250FF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DÍAS DE APERTURA AL PÚBLICO: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Indicar día de CIERRE semanal en el periodo “principal” de apertura consecutiva:</w:t>
      </w:r>
    </w:p>
    <w:p w:rsidR="00C250FF" w:rsidRPr="003532A4" w:rsidRDefault="00C250FF" w:rsidP="00C250FF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>Abierto los días:</w:t>
      </w:r>
    </w:p>
    <w:p w:rsidR="00C250FF" w:rsidRPr="003532A4" w:rsidRDefault="00C250FF" w:rsidP="00C250FF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>Cerrado el día:</w:t>
      </w:r>
    </w:p>
    <w:p w:rsidR="00C250FF" w:rsidRPr="003532A4" w:rsidRDefault="00C250FF" w:rsidP="00C250FF">
      <w:pPr>
        <w:ind w:left="360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HORARIO DE APERTURA AL PÚBLICO:</w:t>
      </w:r>
    </w:p>
    <w:p w:rsidR="00C250FF" w:rsidRPr="003532A4" w:rsidRDefault="00C250FF" w:rsidP="00C250FF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TELÉFONO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de contacto (opcional):</w:t>
      </w:r>
    </w:p>
    <w:p w:rsidR="00C250FF" w:rsidRPr="003532A4" w:rsidRDefault="00C250FF" w:rsidP="00C250FF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C250FF" w:rsidRPr="003532A4" w:rsidRDefault="00C250FF" w:rsidP="00C2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532A4">
        <w:rPr>
          <w:rFonts w:ascii="Calibri" w:hAnsi="Calibri" w:cs="Calibri"/>
          <w:b/>
          <w:bCs/>
          <w:color w:val="002060"/>
          <w:sz w:val="20"/>
          <w:szCs w:val="20"/>
        </w:rPr>
        <w:t>PRECIO DE LA VISITA</w:t>
      </w:r>
      <w:r w:rsidRPr="003532A4">
        <w:rPr>
          <w:rFonts w:ascii="Calibri" w:hAnsi="Calibri" w:cs="Calibri"/>
          <w:b/>
          <w:bCs/>
          <w:color w:val="002060"/>
          <w:sz w:val="18"/>
          <w:szCs w:val="18"/>
        </w:rPr>
        <w:t xml:space="preserve"> (precio opcional, pero si lo hay habrá de indicarse expresamente)</w:t>
      </w:r>
    </w:p>
    <w:p w:rsidR="00C250FF" w:rsidRPr="003532A4" w:rsidRDefault="00C250FF" w:rsidP="00C250FF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250FF" w:rsidRPr="003532A4" w:rsidRDefault="00C250FF" w:rsidP="00C250FF">
      <w:pPr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F"/>
    <w:rsid w:val="00521A3A"/>
    <w:rsid w:val="00C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AF47-D936-46F4-94AC-8460A45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2017-04-05T11:58:00Z</dcterms:created>
  <dcterms:modified xsi:type="dcterms:W3CDTF">2017-04-05T11:59:00Z</dcterms:modified>
</cp:coreProperties>
</file>